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center"/>
        <w:rPr>
          <w:b w:val="0"/>
        </w:rPr>
      </w:pPr>
      <w:r>
        <w:rPr>
          <w:rFonts w:ascii="Times New Roman" w:hAnsi="Times New Roman"/>
          <w:b w:val="0"/>
        </w:rPr>
        <w:t>Предельная продолжительность сверхурочной работы увеличивается до</w:t>
      </w:r>
      <w:r>
        <w:rPr>
          <w:rFonts w:ascii="Times New Roman" w:hAnsi="Times New Roman"/>
          <w:b w:val="0"/>
        </w:rPr>
        <w:t xml:space="preserve"> 240</w:t>
      </w:r>
      <w:r>
        <w:rPr>
          <w:b w:val="1"/>
        </w:rPr>
        <w:t xml:space="preserve"> </w:t>
      </w:r>
      <w:r>
        <w:rPr>
          <w:rFonts w:ascii="Times New Roman" w:hAnsi="Times New Roman"/>
          <w:b w:val="0"/>
        </w:rPr>
        <w:t>часов в год</w:t>
      </w:r>
    </w:p>
    <w:p w14:paraId="02000000">
      <w:pPr>
        <w:pStyle w:val="Style_1"/>
      </w:pPr>
    </w:p>
    <w:p w14:paraId="03000000">
      <w:pPr>
        <w:widowControl w:val="1"/>
        <w:spacing w:after="0" w:before="0" w:line="240" w:lineRule="auto"/>
        <w:ind w:firstLine="850" w:left="0" w:right="0"/>
        <w:rPr>
          <w:rFonts w:ascii="Times New Roman" w:hAnsi="Times New Roman"/>
        </w:rPr>
      </w:pPr>
    </w:p>
    <w:p w14:paraId="04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от 25.05.2026 № 144-ФЗ «</w:t>
      </w:r>
      <w:r>
        <w:rPr>
          <w:rFonts w:ascii="Times New Roman" w:hAnsi="Times New Roman"/>
          <w:b w:val="0"/>
        </w:rPr>
        <w:t xml:space="preserve">О внесении изменений в Трудовой кодекс Российской Федерации» </w:t>
      </w:r>
      <w:r>
        <w:rPr>
          <w:rFonts w:ascii="Times New Roman" w:hAnsi="Times New Roman"/>
          <w:b w:val="0"/>
        </w:rPr>
        <w:t>устанавливается,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работодателя.</w:t>
      </w:r>
    </w:p>
    <w:p w14:paraId="05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согласия. Сверхурочная работа оплачивается исходя из размера заработной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пределах 120 часов в год за первые два часа работы не менее чем в полуторном размере, за последующие часы - не менее чем в двойном размере, начиная со 121-го часа - не менее чем в двойном размере за каждый час.</w:t>
      </w:r>
    </w:p>
    <w:p w14:paraId="06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Предусмотрено, что работник по своему желанию может выбрать дополнительные дни отдыха вместо повышенной оплаты сверхурочной работы.</w:t>
      </w:r>
    </w:p>
    <w:p w14:paraId="07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ними места работы (должности) и среднего заработка.</w:t>
      </w:r>
    </w:p>
    <w:p w14:paraId="08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определены категории работников, продолжительность сверхурочной работы которых не должна превышать 120 часов в год, а также категории работников, привлечение которых к сверхурочной работе, продолжительность которой превышает 120 часов в год, допускается только с их письменного согласия и при условии, что это не запрещено им по состоянию здоровья в соответствии с медицинским заключением.</w:t>
      </w:r>
    </w:p>
    <w:p w14:paraId="09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Помимо прочего, ТК РФ дополняется новой статьей, определяющей особенности оплаты сверхурочной работы работников железнодорожного транспорта.</w:t>
      </w:r>
    </w:p>
    <w:p w14:paraId="0A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Законом в ТК РФ внесены и иные комплексные изменения. Так, в частности, с 35 до 70 человек увеличивается порог по численности работников для субъектов малого бизнеса, при котором допускается заключение срочного трудового договора по соглашению сторон.</w:t>
      </w:r>
    </w:p>
    <w:p w14:paraId="0B000000">
      <w:pPr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Федеральный закон вступает в силу с 1 сентября 2026 года. </w:t>
      </w:r>
    </w:p>
    <w:p w14:paraId="0C000000">
      <w:pPr>
        <w:pStyle w:val="Style_1"/>
        <w:widowControl w:val="1"/>
        <w:spacing w:before="0" w:line="240" w:lineRule="auto"/>
        <w:ind w:firstLine="850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2026-06-22T13:28:22Z</dcterms:created>
  <dcterms:modified xsi:type="dcterms:W3CDTF">2026-06-22T13:54:10Z</dcterms:modified>
</cp:coreProperties>
</file>