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Минстрой России рассмотрел вопрос о задолженности по коммунальным</w:t>
      </w:r>
      <w:r>
        <w:rPr>
          <w:b w:val="1"/>
        </w:rPr>
        <w:t xml:space="preserve"> </w:t>
      </w:r>
      <w:r>
        <w:rPr>
          <w:rFonts w:ascii="Times New Roman" w:hAnsi="Times New Roman"/>
          <w:b w:val="0"/>
        </w:rPr>
        <w:t>платежам</w:t>
      </w:r>
      <w:r>
        <w:br/>
      </w:r>
    </w:p>
    <w:p w14:paraId="02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Письмом Минстроя России от 05.06.2026 № 34451-ДН/04 </w:t>
      </w:r>
      <w:r>
        <w:rPr>
          <w:rFonts w:ascii="Times New Roman" w:hAnsi="Times New Roman"/>
          <w:b w:val="0"/>
        </w:rPr>
        <w:t>сообщается: если гражданин, имеющий задолженность по оплате жилищно-коммунальных услуг, взносов на капитальный ремонт, признан банкротом и окончена процедура расчетов с кредиторами, то его обязательства по выплате долга за жилищно-коммунальные услуги по состоянию на дату вынесения судом определения о признании гражданина банкротом считаются прекратившимися.</w:t>
      </w:r>
    </w:p>
    <w:p w14:paraId="03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Должник должен обратиться к исполнителю услуг с заявлением о списании задолженности, приложив к заявлению определения суда о признании его банкротом, о прекращении процедуры расчетов с кредиторами и т.д</w:t>
      </w:r>
    </w:p>
    <w:p w14:paraId="04000000">
      <w:pPr>
        <w:spacing w:after="0" w:before="0" w:line="240" w:lineRule="auto"/>
        <w:ind w:firstLine="0" w:left="0" w:right="0"/>
        <w:jc w:val="both"/>
        <w:rPr>
          <w:b w:val="0"/>
        </w:rPr>
      </w:pPr>
    </w:p>
    <w:p w14:paraId="05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2026-06-22T12:17:44Z</dcterms:created>
  <dcterms:modified xsi:type="dcterms:W3CDTF">2026-06-22T12:19:20Z</dcterms:modified>
</cp:coreProperties>
</file>