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rFonts w:ascii="Times New Roman" w:hAnsi="Times New Roman"/>
          <w:b w:val="0"/>
        </w:rPr>
        <w:t>Минфином утвержден Порядок ведения перечня физических лиц,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отказавшихся </w:t>
      </w:r>
      <w:r>
        <w:rPr>
          <w:rFonts w:ascii="Times New Roman" w:hAnsi="Times New Roman"/>
          <w:b w:val="0"/>
        </w:rPr>
        <w:t>от участия в азартных играх</w:t>
      </w:r>
      <w:r>
        <w:br/>
      </w:r>
    </w:p>
    <w:p w14:paraId="02000000">
      <w:pPr>
        <w:spacing w:after="0" w:before="0"/>
        <w:ind w:firstLine="0" w:left="0" w:right="0"/>
        <w:jc w:val="both"/>
      </w:pPr>
    </w:p>
    <w:p w14:paraId="03000000">
      <w:pPr>
        <w:spacing w:after="0" w:before="0" w:line="240" w:lineRule="auto"/>
        <w:ind w:firstLine="85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</w:rPr>
        <w:t xml:space="preserve">            Приказом Минфина России от 29.04.2026 № 56н «</w:t>
      </w:r>
      <w:r>
        <w:rPr>
          <w:rFonts w:ascii="Times New Roman" w:hAnsi="Times New Roman"/>
          <w:b w:val="0"/>
        </w:rPr>
        <w:t>Об утверждении Порядка ведения перечня физических лиц, отказавшихся от участия в азартных играх, и состава информации, включаемой в указанный перечень» в</w:t>
      </w:r>
      <w:r>
        <w:rPr>
          <w:rFonts w:ascii="Times New Roman" w:hAnsi="Times New Roman"/>
          <w:b w:val="0"/>
        </w:rPr>
        <w:t>едение перечня физических лиц, отказавшихся от участия в азартных играх, осуществляется публично-правовой компанией «Единый регулятор азартных игр» (далее - единый регулятор азартных игр). Перечень ведется в электронном виде с использованием программно-аппаратного комплекса, содержащего пакет прикладных программ, предназначенных для ведения перечня.</w:t>
      </w: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 ведется единым регулятором азартных игр на основании информации, содержащейся в заявлениях о включении информации о физическом лице в перечень, заявлениях об исключении информации о физическом лице из перечня, поданных физическими лицами с использованием Единого портала госуслуг или через многофункциональные центры предоставления государственных и муниципальных услуг.</w:t>
      </w: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Также определен состав информации, включаемой в перечень.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Настоящий приказ вступает в силу с 1 сентября 2026 года. </w:t>
      </w:r>
    </w:p>
    <w:p w14:paraId="0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2026-06-22T12:58:24Z</dcterms:created>
  <dcterms:modified xsi:type="dcterms:W3CDTF">2026-06-22T12:58:24Z</dcterms:modified>
</cp:coreProperties>
</file>